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6E91" w14:textId="77777777" w:rsidR="00542873" w:rsidRPr="00227079" w:rsidRDefault="00542873" w:rsidP="00542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БФ «Карітас Миколаїв УГКЦ»</w:t>
      </w:r>
      <w:r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оголошує тендер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закупівлю: твердого палива </w:t>
      </w:r>
      <w:r w:rsidRPr="00227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згідно проекту </w:t>
      </w:r>
      <w:r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Продовження реагування на надзвичайні ситуації внаслідок війни в Україні</w:t>
      </w:r>
      <w:r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».</w:t>
      </w:r>
    </w:p>
    <w:tbl>
      <w:tblPr>
        <w:tblW w:w="79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4064"/>
      </w:tblGrid>
      <w:tr w:rsidR="00542873" w:rsidRPr="00227079" w14:paraId="0988E5D4" w14:textId="77777777" w:rsidTr="001D7DFB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33B153" w14:textId="77777777" w:rsidR="00542873" w:rsidRPr="00227079" w:rsidRDefault="00542873" w:rsidP="001D7D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ЗАПИТУ - RFQ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26B8B6" w14:textId="3069040E" w:rsidR="00542873" w:rsidRPr="00227079" w:rsidRDefault="00645500" w:rsidP="001D7DF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2023110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7</w:t>
            </w:r>
          </w:p>
        </w:tc>
      </w:tr>
      <w:tr w:rsidR="00542873" w:rsidRPr="00227079" w14:paraId="445CAA51" w14:textId="77777777" w:rsidTr="001D7DFB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E5A2F9" w14:textId="77777777" w:rsidR="00542873" w:rsidRPr="00227079" w:rsidRDefault="00542873" w:rsidP="001D7D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ЗАМОВЛЕННЯ: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AA03B1" w14:textId="77777777" w:rsidR="00542873" w:rsidRPr="00227079" w:rsidRDefault="00542873" w:rsidP="001D7D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Забезпечення вразливих категорій населення, постраждалого внаслідок військової агресії твердим паливом (дровами)</w:t>
            </w:r>
          </w:p>
        </w:tc>
      </w:tr>
      <w:tr w:rsidR="00542873" w:rsidRPr="00227079" w14:paraId="74E27D92" w14:textId="77777777" w:rsidTr="001D7DFB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FEB992" w14:textId="77777777" w:rsidR="00542873" w:rsidRPr="00227079" w:rsidRDefault="00542873" w:rsidP="001D7D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ПОЧАТКОВА ДАТА: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21EF35" w14:textId="77777777" w:rsidR="00542873" w:rsidRPr="00227079" w:rsidRDefault="00542873" w:rsidP="001D7DF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 листопада</w:t>
            </w:r>
            <w:r w:rsidRPr="002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2023 рік</w:t>
            </w:r>
          </w:p>
        </w:tc>
      </w:tr>
      <w:tr w:rsidR="00542873" w:rsidRPr="00227079" w14:paraId="00851A13" w14:textId="77777777" w:rsidTr="001D7DFB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F84885" w14:textId="77777777" w:rsidR="00542873" w:rsidRPr="00227079" w:rsidRDefault="00542873" w:rsidP="001D7DF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ЗАКРИТТЯ / КІНЦЕВИЙ ТЕРМІН ПОДАЧІ ПРОПОЗИЦІЙ: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02E12B" w14:textId="77777777" w:rsidR="00542873" w:rsidRPr="00227079" w:rsidRDefault="00542873" w:rsidP="001D7DF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листопада</w:t>
            </w: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15:00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Київським часом</w:t>
            </w: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542873" w:rsidRPr="00227079" w14:paraId="4FB2410E" w14:textId="77777777" w:rsidTr="001D7DFB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45EA27" w14:textId="77777777" w:rsidR="00542873" w:rsidRPr="00227079" w:rsidRDefault="00542873" w:rsidP="001D7DF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ЕЛЕКТРОННОЇ ПОШТИ, НА ЯКУ НЕОБХІДНО НАДСИЛАТИ ДОКУМЕНТИ: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3483D4" w14:textId="77777777" w:rsidR="00542873" w:rsidRPr="00227079" w:rsidRDefault="00542873" w:rsidP="001D7DF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caritasmykolaivugcc@gmail.com</w:t>
              </w:r>
            </w:hyperlink>
          </w:p>
        </w:tc>
      </w:tr>
      <w:tr w:rsidR="00542873" w:rsidRPr="00227079" w14:paraId="2A706C23" w14:textId="77777777" w:rsidTr="001D7DFB">
        <w:trPr>
          <w:tblCellSpacing w:w="15" w:type="dxa"/>
        </w:trPr>
        <w:tc>
          <w:tcPr>
            <w:tcW w:w="38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76A0F0" w14:textId="77777777" w:rsidR="00542873" w:rsidRPr="00227079" w:rsidRDefault="00542873" w:rsidP="001D7DF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ЗАПИТАННЯ НАДСИЛАТИ НА АДРЕСУ ЕЛЕКТРОННОЇ ПОШТИ:</w:t>
            </w:r>
          </w:p>
        </w:tc>
        <w:tc>
          <w:tcPr>
            <w:tcW w:w="40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08CB69" w14:textId="2FC68152" w:rsidR="00542873" w:rsidRPr="00227079" w:rsidRDefault="00542873" w:rsidP="001D7DF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caritasmykolaivugcc@gmail.com</w:t>
              </w:r>
            </w:hyperlink>
            <w:r w:rsidRPr="002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2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="00645500"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електронного листа має включати номер запиту пропозицій</w:t>
            </w:r>
            <w:r w:rsidR="0064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  <w:r w:rsidR="00645500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RFQ</w:t>
            </w:r>
            <w:r w:rsidR="00645500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2023110</w:t>
            </w:r>
            <w:r w:rsidR="0064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7</w:t>
            </w:r>
            <w:r w:rsidR="00645500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_Тендер на </w:t>
            </w:r>
            <w:proofErr w:type="spellStart"/>
            <w:r w:rsidR="00645500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="00645500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твердого </w:t>
            </w:r>
            <w:proofErr w:type="spellStart"/>
            <w:r w:rsidR="00645500" w:rsidRPr="008E4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палива</w:t>
            </w:r>
            <w:proofErr w:type="spellEnd"/>
            <w:r w:rsidR="00645500" w:rsidRPr="002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 </w:t>
            </w:r>
          </w:p>
        </w:tc>
      </w:tr>
    </w:tbl>
    <w:p w14:paraId="35F15142" w14:textId="77777777" w:rsidR="00542873" w:rsidRDefault="00542873" w:rsidP="0054287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БФ «Карітас Миколаїв УГКЦ»</w:t>
      </w:r>
      <w:r w:rsidRPr="002270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оголошує тендер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закупівлю: Тверде паливо</w:t>
      </w:r>
      <w:r w:rsidRPr="00C63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для забезпечення вразливих категорій населення, постраждалого внаслідок військової агресії</w:t>
      </w:r>
    </w:p>
    <w:p w14:paraId="05C722F4" w14:textId="77777777" w:rsidR="00542873" w:rsidRPr="00227079" w:rsidRDefault="00542873" w:rsidP="005428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ІІ.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</w:t>
      </w:r>
    </w:p>
    <w:p w14:paraId="4394932D" w14:textId="77777777" w:rsidR="00542873" w:rsidRPr="008A6C3C" w:rsidRDefault="00542873" w:rsidP="005428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 рамках тендеру планується закупити тверде паливо (дрова), вказане у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табл.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№1. Учасник тендеру може подати пропозицію на поставку паливних матеріалів як на один ЛОТ так і на всі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ЛОТи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відразу. Для цього у Додатку 1 до цього тендеру прохання вказати на який ЛОТ подається пропозиція</w:t>
      </w:r>
    </w:p>
    <w:p w14:paraId="35DF0974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III</w:t>
      </w:r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 УМОВИ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ПОСТАВКИ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14:paraId="487A7464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14:paraId="1CD00496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Цін</w:t>
      </w:r>
      <w:r>
        <w:rPr>
          <w:rFonts w:ascii="Times New Roman" w:hAnsi="Times New Roman" w:cs="Times New Roman"/>
          <w:sz w:val="24"/>
          <w:szCs w:val="24"/>
          <w:lang w:eastAsia="uk-UA"/>
        </w:rPr>
        <w:t>а поставки вказується в комерційній пропозиції і є незмінною для всієї партії поставки до повного виконання обов’язків по контракту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734CA350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Місце доставки: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Миколаївська область Миколаївський район (орієнтовно Первомайська та Шевченківська громади). З транспортуванням у двір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бенефіціара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5E223670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Кількість точок доставки: 53 домогосподарства.</w:t>
      </w:r>
    </w:p>
    <w:p w14:paraId="618F429F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Вартість доставки: включено у вартість паливних матеріалів.</w:t>
      </w:r>
    </w:p>
    <w:p w14:paraId="4FFBC918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Умови оплати: безготівковий розрахунок</w:t>
      </w:r>
    </w:p>
    <w:p w14:paraId="095E76D0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Валюта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контрактування</w:t>
      </w:r>
      <w:proofErr w:type="spellEnd"/>
      <w:r w:rsidRPr="00227079">
        <w:rPr>
          <w:rFonts w:ascii="Times New Roman" w:hAnsi="Times New Roman" w:cs="Times New Roman"/>
          <w:sz w:val="24"/>
          <w:szCs w:val="24"/>
          <w:lang w:eastAsia="uk-UA"/>
        </w:rPr>
        <w:t>: UАН.</w:t>
      </w:r>
    </w:p>
    <w:p w14:paraId="0800BBEB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F35DC3F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Оплата за товар замовником буде здійснюватися відповідно до узгодженого графіку поставок: починаючи з 20.11.2023.</w:t>
      </w:r>
    </w:p>
    <w:p w14:paraId="704F275D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Надання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>специфікації товару (категорія/клас, калорійність, фракційність, сертифікат відповідності тощо)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27A609C1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Надання інструкцій по використанню товару.</w:t>
      </w:r>
    </w:p>
    <w:p w14:paraId="27D10B67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Мов</w:t>
      </w:r>
      <w:r>
        <w:rPr>
          <w:rFonts w:ascii="Times New Roman" w:hAnsi="Times New Roman" w:cs="Times New Roman"/>
          <w:sz w:val="24"/>
          <w:szCs w:val="24"/>
          <w:lang w:eastAsia="uk-UA"/>
        </w:rPr>
        <w:t>а: вся документація українською.</w:t>
      </w:r>
    </w:p>
    <w:p w14:paraId="19AF438A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Пропозиції за формою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(в електронному варіанті, а також у </w:t>
      </w:r>
      <w:proofErr w:type="spellStart"/>
      <w:r w:rsidRPr="00227079">
        <w:rPr>
          <w:rFonts w:ascii="Times New Roman" w:hAnsi="Times New Roman" w:cs="Times New Roman"/>
          <w:sz w:val="24"/>
          <w:szCs w:val="24"/>
          <w:lang w:eastAsia="uk-UA"/>
        </w:rPr>
        <w:t>відсканованому</w:t>
      </w:r>
      <w:proofErr w:type="spellEnd"/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та підписаному варіанті) необхідно надсилати електронною </w:t>
      </w:r>
      <w:r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поштою на адресу: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caritasmykolaivugcc@gmail.com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uk-UA"/>
        </w:rPr>
        <w:t>,</w:t>
      </w:r>
      <w:r w:rsidRPr="00796509">
        <w:rPr>
          <w:rFonts w:ascii="Times New Roman" w:hAnsi="Times New Roman" w:cs="Times New Roman"/>
          <w:color w:val="0000FF"/>
          <w:sz w:val="24"/>
          <w:szCs w:val="24"/>
          <w:lang w:eastAsia="uk-UA"/>
        </w:rPr>
        <w:t xml:space="preserve">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а також оприлюднювати свої пропозиції на тендерному майданчику</w:t>
      </w:r>
      <w:r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227079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не пізніше кінцевого терміну подання тендерних пропозицій. </w:t>
      </w:r>
    </w:p>
    <w:p w14:paraId="73BEC5CB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Матеріали не повинні перевищувати 10 МБ, а тема повідомлення повинна включати «н</w:t>
      </w:r>
      <w:r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омер запиту». Технічні характеристики</w:t>
      </w:r>
      <w:r w:rsidRPr="00227079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78B6F394" w14:textId="77777777" w:rsidR="00542873" w:rsidRPr="00227079" w:rsidRDefault="00542873" w:rsidP="005428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Заявки на продовження строку подання тендерних пропозицій мають бути доставлені до кінцевого терміну подання тендерних пропозицій.</w:t>
      </w:r>
    </w:p>
    <w:p w14:paraId="1DAB7844" w14:textId="77777777" w:rsidR="00542873" w:rsidRPr="00227079" w:rsidRDefault="00542873" w:rsidP="005428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I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V.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ОЦІНКА ПРОПОЗИЦІЙ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14:paraId="56319A26" w14:textId="77777777" w:rsidR="00542873" w:rsidRPr="00227079" w:rsidRDefault="00542873" w:rsidP="005428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Отримані пропозиції будуть оцінюватись у два етапи:</w:t>
      </w:r>
    </w:p>
    <w:p w14:paraId="47F38EA7" w14:textId="77777777" w:rsidR="00542873" w:rsidRDefault="00542873" w:rsidP="005428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1.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Відповідність [пройшов/не пройшов]: Пропозиція має бути повною та відповідати вимогам. Пропозиція буде вважатися повною та відповідною вимогам, якщо вона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ідписана, відповідає заявленим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вживання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характеристикам,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 суті відповідає умовам Запиту пропозицій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надано всі необхідні документи</w:t>
      </w:r>
    </w:p>
    <w:p w14:paraId="65B47741" w14:textId="77777777" w:rsidR="00542873" w:rsidRDefault="00542873" w:rsidP="0054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Оцінка пропозицій</w:t>
      </w:r>
    </w:p>
    <w:p w14:paraId="574FE99B" w14:textId="77777777" w:rsidR="00542873" w:rsidRDefault="00542873" w:rsidP="0054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Спроможність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вага критерія 30%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]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наявність паливних матеріалів, потужності виробництва, можливість транспортування до визначеної локації, пакування, термін доставки товарів,</w:t>
      </w:r>
      <w:r w:rsidRPr="00B04DF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наявність відгуків та рекомендацій, відсутність боргових та судових проваджень. </w:t>
      </w:r>
    </w:p>
    <w:p w14:paraId="2FC1B5DA" w14:textId="77777777" w:rsidR="00542873" w:rsidRDefault="00542873" w:rsidP="0054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Комерційна складова 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вага критерія 70%</w:t>
      </w:r>
      <w:r w:rsidRPr="0022707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]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умови оплати (передплата чи післяплата), ціна пропозиції</w:t>
      </w:r>
    </w:p>
    <w:p w14:paraId="356A3E2B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47DFC685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V.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ВІДХИЛЕННЯ ПРОПОЗИЦІЇ:</w:t>
      </w:r>
    </w:p>
    <w:p w14:paraId="6ECFC06B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може відхилити будь-яку пропозицію, яка не відповідає умовам Запиту пропозицій.</w:t>
      </w:r>
    </w:p>
    <w:p w14:paraId="3315BC7D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не зобов’язаний приймати пропозицію за найнижчою ціною або будь-яку пропозицію і залишає за собою право прийняти будь-яку пропозицію повністю або частково, а також відмовитися від будь-якої пропозиції або всіх пропозицій без пояснення причин, а також укласти договір на будь-яких або інших умовах.</w:t>
      </w:r>
    </w:p>
    <w:p w14:paraId="63ECC560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зобов’язується надіслати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переможц</w:t>
      </w:r>
      <w:r>
        <w:rPr>
          <w:rFonts w:ascii="Times New Roman" w:hAnsi="Times New Roman" w:cs="Times New Roman"/>
          <w:sz w:val="24"/>
          <w:szCs w:val="24"/>
          <w:lang w:eastAsia="uk-UA"/>
        </w:rPr>
        <w:t>ю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тендеру повідомлення про присудження контракту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підписання та укладання договору).</w:t>
      </w:r>
    </w:p>
    <w:p w14:paraId="0D5CD609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D8BC8CC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VI. ПРАВО НА УЧАСТЬ: ПРИДАТНІСТЬ</w:t>
      </w:r>
    </w:p>
    <w:p w14:paraId="36A3166C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Учасники не можуть бути пов’язані зараз чи раніше прямо чи опосередковано з компанією чи будь-якою з її філій, яку </w:t>
      </w:r>
      <w:r>
        <w:rPr>
          <w:rFonts w:ascii="Times New Roman" w:hAnsi="Times New Roman" w:cs="Times New Roman"/>
          <w:sz w:val="24"/>
          <w:szCs w:val="24"/>
          <w:lang w:eastAsia="uk-UA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залучив для </w:t>
      </w:r>
      <w:r>
        <w:rPr>
          <w:rFonts w:ascii="Times New Roman" w:hAnsi="Times New Roman" w:cs="Times New Roman"/>
          <w:sz w:val="24"/>
          <w:szCs w:val="24"/>
          <w:lang w:eastAsia="uk-UA"/>
        </w:rPr>
        <w:t>надання послуг з підготовки прое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кту, специфікацій та інших документів, які будуть використовуватися для закупівлі товарів відповідно до цього запиту. Переможці тендеру будуть пов’язані контрактом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 виконання своїх зобов’язань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eastAsia="uk-UA"/>
        </w:rPr>
        <w:t>БФ «Карітас Миколаїв УГКЦ»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 xml:space="preserve"> під час ведення свого бізнесу.</w:t>
      </w:r>
    </w:p>
    <w:p w14:paraId="299FFEAF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9FA440E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II.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ГРАФІК ПОДАННЯ ПРОПОЗИЦІЙ ТА ПІДПИСАННЯ ДОГОВОРУ:</w:t>
      </w:r>
    </w:p>
    <w:p w14:paraId="1111CE0A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005C8C"/>
          <w:kern w:val="36"/>
          <w:sz w:val="24"/>
          <w:szCs w:val="24"/>
          <w:lang w:eastAsia="uk-UA"/>
        </w:rPr>
      </w:pPr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2415"/>
        <w:gridCol w:w="3000"/>
      </w:tblGrid>
      <w:tr w:rsidR="00542873" w:rsidRPr="00227079" w14:paraId="3D4A6801" w14:textId="77777777" w:rsidTr="001D7DFB">
        <w:tc>
          <w:tcPr>
            <w:tcW w:w="3975" w:type="dxa"/>
            <w:shd w:val="clear" w:color="auto" w:fill="FFFFFF"/>
            <w:vAlign w:val="center"/>
            <w:hideMark/>
          </w:tcPr>
          <w:p w14:paraId="731A2055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b/>
                <w:bCs/>
                <w:color w:val="405E66"/>
                <w:sz w:val="24"/>
                <w:szCs w:val="24"/>
                <w:lang w:eastAsia="uk-UA"/>
              </w:rPr>
              <w:t>Етапи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4C5760C1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b/>
                <w:bCs/>
                <w:color w:val="405E66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4F2799F7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b/>
                <w:bCs/>
                <w:color w:val="405E66"/>
                <w:sz w:val="24"/>
                <w:szCs w:val="24"/>
                <w:lang w:eastAsia="uk-UA"/>
              </w:rPr>
              <w:t>Час</w:t>
            </w:r>
          </w:p>
        </w:tc>
      </w:tr>
      <w:tr w:rsidR="00542873" w:rsidRPr="00227079" w14:paraId="42DDF6DD" w14:textId="77777777" w:rsidTr="001D7DFB">
        <w:tc>
          <w:tcPr>
            <w:tcW w:w="3975" w:type="dxa"/>
            <w:shd w:val="clear" w:color="auto" w:fill="FFFFFF"/>
            <w:vAlign w:val="center"/>
            <w:hideMark/>
          </w:tcPr>
          <w:p w14:paraId="6A84CEF2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Кінцевий термін подання пропозицій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0403F8ED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.11.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27715BDD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15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:00</w:t>
            </w:r>
          </w:p>
        </w:tc>
      </w:tr>
      <w:tr w:rsidR="00542873" w:rsidRPr="00227079" w14:paraId="7854D8DA" w14:textId="77777777" w:rsidTr="001D7DFB">
        <w:tc>
          <w:tcPr>
            <w:tcW w:w="3975" w:type="dxa"/>
            <w:shd w:val="clear" w:color="auto" w:fill="FFFFFF"/>
            <w:vAlign w:val="center"/>
            <w:hideMark/>
          </w:tcPr>
          <w:p w14:paraId="5854645C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Оцінка пропозицій</w:t>
            </w:r>
          </w:p>
          <w:p w14:paraId="389B02BA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Перевірка постачальника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2DC4633A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.11.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2023</w:t>
            </w:r>
          </w:p>
          <w:p w14:paraId="621F70C0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.11.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6B3556EE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</w:p>
        </w:tc>
      </w:tr>
      <w:tr w:rsidR="00542873" w:rsidRPr="00227079" w14:paraId="59378E85" w14:textId="77777777" w:rsidTr="001D7DFB">
        <w:tc>
          <w:tcPr>
            <w:tcW w:w="3975" w:type="dxa"/>
            <w:shd w:val="clear" w:color="auto" w:fill="FFFFFF"/>
            <w:vAlign w:val="center"/>
            <w:hideMark/>
          </w:tcPr>
          <w:p w14:paraId="6A100EB7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lastRenderedPageBreak/>
              <w:t>Оголошення переможця торгів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05117580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val="en-US" w:eastAsia="uk-UA"/>
              </w:rPr>
              <w:t>6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.11.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09D55C03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15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:00</w:t>
            </w:r>
          </w:p>
        </w:tc>
      </w:tr>
      <w:tr w:rsidR="00542873" w:rsidRPr="00227079" w14:paraId="1F5DE027" w14:textId="77777777" w:rsidTr="001D7DFB">
        <w:tc>
          <w:tcPr>
            <w:tcW w:w="3975" w:type="dxa"/>
            <w:shd w:val="clear" w:color="auto" w:fill="FFFFFF"/>
            <w:vAlign w:val="center"/>
            <w:hideMark/>
          </w:tcPr>
          <w:p w14:paraId="43635D55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Підписання договору (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орієнтовно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560057A0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.11.</w:t>
            </w: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14:paraId="662E757B" w14:textId="77777777" w:rsidR="00542873" w:rsidRPr="00227079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</w:pPr>
            <w:r w:rsidRPr="00227079">
              <w:rPr>
                <w:rFonts w:ascii="Times New Roman" w:hAnsi="Times New Roman" w:cs="Times New Roman"/>
                <w:color w:val="405E66"/>
                <w:sz w:val="24"/>
                <w:szCs w:val="24"/>
                <w:lang w:eastAsia="uk-UA"/>
              </w:rPr>
              <w:t> </w:t>
            </w:r>
          </w:p>
        </w:tc>
      </w:tr>
    </w:tbl>
    <w:p w14:paraId="6F6D044B" w14:textId="77777777" w:rsidR="00542873" w:rsidRDefault="00542873" w:rsidP="00542873">
      <w:pPr>
        <w:pStyle w:val="a4"/>
        <w:jc w:val="both"/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 </w:t>
      </w:r>
    </w:p>
    <w:p w14:paraId="444AA011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Під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час періоду уточнень учасники </w:t>
      </w: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мож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уть задавати питання чи просити</w:t>
      </w: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уточнення від Замовника щодо технічних вимог до предмету закупівлі та/чи вимог до кваліфікації Учасників.</w:t>
      </w: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 </w:t>
      </w:r>
      <w:r w:rsidRPr="006A78F5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 xml:space="preserve">Контакти для уточнень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caritasmykolaivugcc@gmail.com</w:t>
        </w:r>
      </w:hyperlink>
    </w:p>
    <w:p w14:paraId="7DEB7886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</w:p>
    <w:p w14:paraId="4D7BB067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Участь та кваліфікація</w:t>
      </w:r>
    </w:p>
    <w:p w14:paraId="1D2B45D9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Конкурс відкритий для всіх постачальників товарів, які можуть надати відповідні до запиту товари (Товариства з обмеженою відповідальністю та Фізичні особи-підприємці як на загальних умовах оподаткування, так і неплатників Податку на додану вартість).</w:t>
      </w:r>
    </w:p>
    <w:p w14:paraId="202354ED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Зверніть увагу, що претенденти повинні подати свої пропозиції, які включають усі податки та збори згідн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о українського законодавства (в</w:t>
      </w: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. ч. ПДВ) та/або вказати пільгу та підставу згідно з якої постачання Товару звільняється від певних податків/зборів. </w:t>
      </w:r>
    </w:p>
    <w:p w14:paraId="067DB954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</w:p>
    <w:p w14:paraId="203B8BF5" w14:textId="77777777" w:rsidR="00542873" w:rsidRPr="006A78F5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b/>
          <w:color w:val="405E66"/>
          <w:sz w:val="24"/>
          <w:szCs w:val="24"/>
          <w:lang w:eastAsia="uk-UA"/>
        </w:rPr>
      </w:pPr>
      <w:r w:rsidRPr="006A78F5">
        <w:rPr>
          <w:rFonts w:ascii="Times New Roman" w:hAnsi="Times New Roman" w:cs="Times New Roman"/>
          <w:b/>
          <w:color w:val="405E66"/>
          <w:sz w:val="24"/>
          <w:szCs w:val="24"/>
          <w:lang w:eastAsia="uk-UA"/>
        </w:rPr>
        <w:t>Зміст тендер</w:t>
      </w:r>
      <w:r>
        <w:rPr>
          <w:rFonts w:ascii="Times New Roman" w:hAnsi="Times New Roman" w:cs="Times New Roman"/>
          <w:b/>
          <w:color w:val="405E66"/>
          <w:sz w:val="24"/>
          <w:szCs w:val="24"/>
          <w:lang w:eastAsia="uk-UA"/>
        </w:rPr>
        <w:t>ного</w:t>
      </w:r>
      <w:r w:rsidRPr="006A78F5">
        <w:rPr>
          <w:rFonts w:ascii="Times New Roman" w:hAnsi="Times New Roman" w:cs="Times New Roman"/>
          <w:b/>
          <w:color w:val="405E66"/>
          <w:sz w:val="24"/>
          <w:szCs w:val="24"/>
          <w:lang w:eastAsia="uk-UA"/>
        </w:rPr>
        <w:t xml:space="preserve"> пакету</w:t>
      </w:r>
    </w:p>
    <w:p w14:paraId="2774F193" w14:textId="77777777" w:rsidR="00542873" w:rsidRPr="00994BAF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Учасників тендеру просять заповнити надіслати наступний пакет тендерної документації: </w:t>
      </w:r>
    </w:p>
    <w:p w14:paraId="4C645763" w14:textId="77777777" w:rsidR="00542873" w:rsidRPr="00994BAF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1.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Ін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формацію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що надано у 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1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(у форматі ПДФ підп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исані та окремо у форматі </w:t>
      </w:r>
      <w:r w:rsidRPr="00DB3D5C">
        <w:rPr>
          <w:rFonts w:ascii="Times New Roman" w:hAnsi="Times New Roman" w:cs="Times New Roman"/>
          <w:color w:val="405E66"/>
          <w:sz w:val="24"/>
          <w:szCs w:val="24"/>
          <w:lang w:val="en-US" w:eastAsia="uk-UA"/>
        </w:rPr>
        <w:t>Excel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): Контактна інформація; Спроможність; Декларація доброчесності; Вміст пакету документів</w:t>
      </w:r>
    </w:p>
    <w:p w14:paraId="407959A4" w14:textId="77777777" w:rsidR="00542873" w:rsidRPr="00994BAF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2.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  <w:t xml:space="preserve">Комерційна пропозиція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Додаток 2 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(у форматі ПД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Ф підписана)</w:t>
      </w:r>
    </w:p>
    <w:p w14:paraId="0A70B8E8" w14:textId="77777777" w:rsidR="00542873" w:rsidRPr="00994BAF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3.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  <w:t xml:space="preserve">Реєстраційні документи: виписка з ЄДР про державну реєстрацію, свідоцтво/довідка платника податків, 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статут, 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інші документи за наявності</w:t>
      </w:r>
    </w:p>
    <w:p w14:paraId="217244F8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4.</w:t>
      </w:r>
      <w:r w:rsidRPr="00994BAF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  <w:t>Дійсні свідоцтва/ліцензії на здійснення  відповідної діяльності (за наявності)</w:t>
      </w:r>
    </w:p>
    <w:p w14:paraId="37CCA9C6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5.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ab/>
        <w:t>Сертифікати/Протоколи відповідності/Протоколи випробувань/інші документи що підтверджують характеристики паливних матеріалів</w:t>
      </w:r>
    </w:p>
    <w:p w14:paraId="4199D5F0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</w:pPr>
    </w:p>
    <w:p w14:paraId="45B13D31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b/>
          <w:bCs/>
          <w:color w:val="405E66"/>
          <w:sz w:val="24"/>
          <w:szCs w:val="24"/>
          <w:lang w:eastAsia="uk-UA"/>
        </w:rPr>
        <w:t>Терміни та місце надання послуг</w:t>
      </w:r>
    </w:p>
    <w:p w14:paraId="3B8554F2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Очікуваний термін поставки товару: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паливні матеріали плануються постачати до кінця 2023 року. Календар поставки паливних матеріалів рахуючи з моменту підписання договору буде включено в договір.</w:t>
      </w:r>
    </w:p>
    <w:p w14:paraId="0518A115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Місце поставки: </w:t>
      </w:r>
      <w:r w:rsidRPr="00DB3D5C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Миколаївська область Миколаївський район (орієнтовно Первомайська та Шевченківська громади)</w:t>
      </w:r>
      <w:r w:rsidRPr="00825B7C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. З тра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нспортуванням у двір </w:t>
      </w:r>
      <w:proofErr w:type="spellStart"/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бенефіціарів</w:t>
      </w:r>
      <w:proofErr w:type="spellEnd"/>
      <w:r w:rsidRPr="00825B7C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.</w:t>
      </w:r>
    </w:p>
    <w:p w14:paraId="1CE85BF4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Для зручності Уч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асники тендеру мають заповнити </w:t>
      </w: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Додаток 1</w:t>
      </w: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.</w:t>
      </w:r>
    </w:p>
    <w:p w14:paraId="191C5165" w14:textId="77777777" w:rsidR="00542873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4287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2"/>
        <w:tblW w:w="11194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701"/>
        <w:gridCol w:w="1134"/>
        <w:gridCol w:w="1134"/>
        <w:gridCol w:w="709"/>
        <w:gridCol w:w="851"/>
        <w:gridCol w:w="1134"/>
      </w:tblGrid>
      <w:tr w:rsidR="00645500" w:rsidRPr="008A6214" w14:paraId="1680DBB4" w14:textId="77777777" w:rsidTr="00645500">
        <w:trPr>
          <w:trHeight w:val="626"/>
        </w:trPr>
        <w:tc>
          <w:tcPr>
            <w:tcW w:w="1129" w:type="dxa"/>
            <w:vAlign w:val="center"/>
          </w:tcPr>
          <w:p w14:paraId="6E6B5A8B" w14:textId="77777777" w:rsidR="00542873" w:rsidRPr="00E95DF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Предмет закупівлі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14:paraId="277D71F2" w14:textId="77777777" w:rsidR="00542873" w:rsidRPr="00E95DF1" w:rsidRDefault="00542873" w:rsidP="006455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Специфікація</w:t>
            </w:r>
          </w:p>
        </w:tc>
        <w:tc>
          <w:tcPr>
            <w:tcW w:w="1701" w:type="dxa"/>
            <w:vAlign w:val="center"/>
          </w:tcPr>
          <w:p w14:paraId="128916AD" w14:textId="77777777" w:rsidR="00542873" w:rsidRPr="00E95DF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Транспортування</w:t>
            </w:r>
          </w:p>
        </w:tc>
        <w:tc>
          <w:tcPr>
            <w:tcW w:w="1134" w:type="dxa"/>
            <w:vAlign w:val="center"/>
          </w:tcPr>
          <w:p w14:paraId="3037A272" w14:textId="77777777" w:rsidR="00542873" w:rsidRPr="00B86A87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Дрова колоті (так/ні)</w:t>
            </w:r>
          </w:p>
        </w:tc>
        <w:tc>
          <w:tcPr>
            <w:tcW w:w="1134" w:type="dxa"/>
            <w:vAlign w:val="center"/>
          </w:tcPr>
          <w:p w14:paraId="615FC0B6" w14:textId="77777777" w:rsidR="00542873" w:rsidRPr="00E95DF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Розмір (довжина) дров </w:t>
            </w:r>
          </w:p>
        </w:tc>
        <w:tc>
          <w:tcPr>
            <w:tcW w:w="1560" w:type="dxa"/>
            <w:gridSpan w:val="2"/>
            <w:vAlign w:val="center"/>
          </w:tcPr>
          <w:p w14:paraId="3170E308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95DF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 1 домогосподарство</w:t>
            </w:r>
          </w:p>
          <w:p w14:paraId="52C2665F" w14:textId="77777777" w:rsidR="00542873" w:rsidRPr="00E95DF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м3 / складометри</w:t>
            </w:r>
          </w:p>
        </w:tc>
        <w:tc>
          <w:tcPr>
            <w:tcW w:w="1134" w:type="dxa"/>
            <w:noWrap/>
            <w:vAlign w:val="center"/>
            <w:hideMark/>
          </w:tcPr>
          <w:p w14:paraId="06DE3AC2" w14:textId="77777777" w:rsidR="00542873" w:rsidRPr="00B21BB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домогоспо-дарств</w:t>
            </w:r>
            <w:proofErr w:type="spellEnd"/>
          </w:p>
        </w:tc>
      </w:tr>
      <w:tr w:rsidR="00645500" w:rsidRPr="008A6214" w14:paraId="7BB6CCD3" w14:textId="77777777" w:rsidTr="00645500">
        <w:trPr>
          <w:trHeight w:val="540"/>
        </w:trPr>
        <w:tc>
          <w:tcPr>
            <w:tcW w:w="1129" w:type="dxa"/>
            <w:noWrap/>
            <w:vAlign w:val="center"/>
          </w:tcPr>
          <w:p w14:paraId="687936D8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ЛОТ1</w:t>
            </w:r>
          </w:p>
        </w:tc>
        <w:tc>
          <w:tcPr>
            <w:tcW w:w="1701" w:type="dxa"/>
            <w:vAlign w:val="center"/>
          </w:tcPr>
          <w:p w14:paraId="0D39EDFD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1B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Дрова сирі</w:t>
            </w:r>
          </w:p>
        </w:tc>
        <w:tc>
          <w:tcPr>
            <w:tcW w:w="1701" w:type="dxa"/>
            <w:noWrap/>
            <w:vAlign w:val="center"/>
            <w:hideMark/>
          </w:tcPr>
          <w:p w14:paraId="026BBD82" w14:textId="77777777" w:rsidR="00542873" w:rsidRPr="002D344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</w:pPr>
            <w:r w:rsidRPr="00B2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 категорія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*</w:t>
            </w:r>
          </w:p>
          <w:p w14:paraId="7A51D959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10C2339" w14:textId="77777777" w:rsidR="00542873" w:rsidRPr="002D344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</w:pPr>
            <w:r w:rsidRPr="00B2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 категорія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**</w:t>
            </w:r>
          </w:p>
        </w:tc>
        <w:tc>
          <w:tcPr>
            <w:tcW w:w="1701" w:type="dxa"/>
            <w:vAlign w:val="center"/>
          </w:tcPr>
          <w:p w14:paraId="39AFFDE0" w14:textId="77777777" w:rsidR="00542873" w:rsidRPr="002D344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незапаковане</w:t>
            </w:r>
          </w:p>
        </w:tc>
        <w:tc>
          <w:tcPr>
            <w:tcW w:w="1134" w:type="dxa"/>
            <w:vAlign w:val="center"/>
          </w:tcPr>
          <w:p w14:paraId="2FAB4EBF" w14:textId="77777777" w:rsidR="00542873" w:rsidRPr="002D344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134" w:type="dxa"/>
            <w:vAlign w:val="center"/>
          </w:tcPr>
          <w:p w14:paraId="59F8BD18" w14:textId="77777777" w:rsidR="00542873" w:rsidRPr="002D344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40-60 см</w:t>
            </w:r>
          </w:p>
        </w:tc>
        <w:tc>
          <w:tcPr>
            <w:tcW w:w="709" w:type="dxa"/>
            <w:vAlign w:val="center"/>
          </w:tcPr>
          <w:p w14:paraId="367B150A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8,1</w:t>
            </w:r>
          </w:p>
          <w:p w14:paraId="2AE2F9E0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098C6A9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10,8</w:t>
            </w:r>
          </w:p>
        </w:tc>
        <w:tc>
          <w:tcPr>
            <w:tcW w:w="851" w:type="dxa"/>
            <w:vAlign w:val="center"/>
          </w:tcPr>
          <w:p w14:paraId="600A3BC0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5,67</w:t>
            </w:r>
          </w:p>
          <w:p w14:paraId="03A32658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502BF88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7,56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757A9BC5" w14:textId="77777777" w:rsidR="00542873" w:rsidRPr="008C6040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53</w:t>
            </w:r>
          </w:p>
        </w:tc>
      </w:tr>
      <w:tr w:rsidR="00645500" w:rsidRPr="008A6214" w14:paraId="53472BB8" w14:textId="77777777" w:rsidTr="00645500">
        <w:trPr>
          <w:trHeight w:val="529"/>
        </w:trPr>
        <w:tc>
          <w:tcPr>
            <w:tcW w:w="1129" w:type="dxa"/>
            <w:vAlign w:val="center"/>
          </w:tcPr>
          <w:p w14:paraId="2EDCA906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ЛОТ2</w:t>
            </w:r>
          </w:p>
        </w:tc>
        <w:tc>
          <w:tcPr>
            <w:tcW w:w="1701" w:type="dxa"/>
            <w:vAlign w:val="center"/>
          </w:tcPr>
          <w:p w14:paraId="624D1415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D1B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Дрова заготовленні в осінньо-зимовий період</w:t>
            </w:r>
          </w:p>
        </w:tc>
        <w:tc>
          <w:tcPr>
            <w:tcW w:w="1701" w:type="dxa"/>
            <w:vAlign w:val="center"/>
            <w:hideMark/>
          </w:tcPr>
          <w:p w14:paraId="42085FB7" w14:textId="77777777" w:rsidR="00542873" w:rsidRPr="002D344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</w:pPr>
            <w:r w:rsidRPr="00B2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 категорія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*</w:t>
            </w:r>
          </w:p>
          <w:p w14:paraId="564CD382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C5B0EDF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2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 категорія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**</w:t>
            </w:r>
          </w:p>
        </w:tc>
        <w:tc>
          <w:tcPr>
            <w:tcW w:w="1701" w:type="dxa"/>
            <w:vAlign w:val="center"/>
          </w:tcPr>
          <w:p w14:paraId="2C566963" w14:textId="77777777" w:rsidR="00542873" w:rsidRPr="002D344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незапаковане</w:t>
            </w:r>
          </w:p>
        </w:tc>
        <w:tc>
          <w:tcPr>
            <w:tcW w:w="1134" w:type="dxa"/>
            <w:vAlign w:val="center"/>
          </w:tcPr>
          <w:p w14:paraId="0A15D5C8" w14:textId="77777777" w:rsidR="00542873" w:rsidRPr="002D344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134" w:type="dxa"/>
            <w:vAlign w:val="center"/>
          </w:tcPr>
          <w:p w14:paraId="02B712D5" w14:textId="77777777" w:rsidR="00542873" w:rsidRPr="002D344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40-60 см</w:t>
            </w:r>
          </w:p>
        </w:tc>
        <w:tc>
          <w:tcPr>
            <w:tcW w:w="709" w:type="dxa"/>
            <w:vAlign w:val="center"/>
          </w:tcPr>
          <w:p w14:paraId="445A1932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7,2</w:t>
            </w:r>
          </w:p>
          <w:p w14:paraId="4F856643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BB0F3AD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10,1</w:t>
            </w:r>
          </w:p>
        </w:tc>
        <w:tc>
          <w:tcPr>
            <w:tcW w:w="851" w:type="dxa"/>
            <w:vAlign w:val="center"/>
          </w:tcPr>
          <w:p w14:paraId="5E811DCB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5,04</w:t>
            </w:r>
          </w:p>
          <w:p w14:paraId="1A60EECF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3B62A8F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7,07</w:t>
            </w:r>
          </w:p>
        </w:tc>
        <w:tc>
          <w:tcPr>
            <w:tcW w:w="1134" w:type="dxa"/>
            <w:vMerge/>
            <w:vAlign w:val="center"/>
            <w:hideMark/>
          </w:tcPr>
          <w:p w14:paraId="4E8B5BA2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45500" w:rsidRPr="008A6214" w14:paraId="286196AD" w14:textId="77777777" w:rsidTr="00645500">
        <w:trPr>
          <w:trHeight w:val="259"/>
        </w:trPr>
        <w:tc>
          <w:tcPr>
            <w:tcW w:w="1129" w:type="dxa"/>
            <w:vAlign w:val="center"/>
          </w:tcPr>
          <w:p w14:paraId="6C6511D3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ЛОТ3</w:t>
            </w:r>
          </w:p>
        </w:tc>
        <w:tc>
          <w:tcPr>
            <w:tcW w:w="1701" w:type="dxa"/>
            <w:vAlign w:val="center"/>
          </w:tcPr>
          <w:p w14:paraId="7C69BFA3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D1B4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Дрова сухі</w:t>
            </w:r>
          </w:p>
        </w:tc>
        <w:tc>
          <w:tcPr>
            <w:tcW w:w="1701" w:type="dxa"/>
            <w:vAlign w:val="center"/>
            <w:hideMark/>
          </w:tcPr>
          <w:p w14:paraId="7FE9D74F" w14:textId="77777777" w:rsidR="00542873" w:rsidRPr="002D344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</w:pPr>
            <w:r w:rsidRPr="00B2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 категорія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*</w:t>
            </w:r>
          </w:p>
          <w:p w14:paraId="48F5DEB8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B6E1DC6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 категорія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**</w:t>
            </w:r>
          </w:p>
        </w:tc>
        <w:tc>
          <w:tcPr>
            <w:tcW w:w="1701" w:type="dxa"/>
            <w:vAlign w:val="center"/>
          </w:tcPr>
          <w:p w14:paraId="6A79021B" w14:textId="77777777" w:rsidR="00542873" w:rsidRPr="002D344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незапаковане</w:t>
            </w:r>
          </w:p>
        </w:tc>
        <w:tc>
          <w:tcPr>
            <w:tcW w:w="1134" w:type="dxa"/>
            <w:vAlign w:val="center"/>
          </w:tcPr>
          <w:p w14:paraId="3F52A318" w14:textId="77777777" w:rsidR="00542873" w:rsidRPr="002D3441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134" w:type="dxa"/>
            <w:vAlign w:val="center"/>
          </w:tcPr>
          <w:p w14:paraId="6047AF07" w14:textId="77777777" w:rsidR="00542873" w:rsidRPr="002D344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40-60 см</w:t>
            </w:r>
          </w:p>
        </w:tc>
        <w:tc>
          <w:tcPr>
            <w:tcW w:w="709" w:type="dxa"/>
            <w:vAlign w:val="center"/>
          </w:tcPr>
          <w:p w14:paraId="39127B2E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6,7</w:t>
            </w:r>
          </w:p>
          <w:p w14:paraId="150C732C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9AB2233" w14:textId="77777777" w:rsidR="00542873" w:rsidRDefault="00542873" w:rsidP="001D7D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9,4</w:t>
            </w:r>
          </w:p>
        </w:tc>
        <w:tc>
          <w:tcPr>
            <w:tcW w:w="851" w:type="dxa"/>
            <w:vAlign w:val="center"/>
          </w:tcPr>
          <w:p w14:paraId="554BAF61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4,69</w:t>
            </w:r>
          </w:p>
          <w:p w14:paraId="53940690" w14:textId="77777777" w:rsidR="00542873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0CC927C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6,58</w:t>
            </w:r>
          </w:p>
        </w:tc>
        <w:tc>
          <w:tcPr>
            <w:tcW w:w="1134" w:type="dxa"/>
            <w:vMerge/>
            <w:vAlign w:val="center"/>
            <w:hideMark/>
          </w:tcPr>
          <w:p w14:paraId="731C8685" w14:textId="77777777" w:rsidR="00542873" w:rsidRPr="00E95DF1" w:rsidRDefault="00542873" w:rsidP="001D7DF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42DE3627" w14:textId="77777777" w:rsidR="00542873" w:rsidRPr="00227079" w:rsidRDefault="00542873" w:rsidP="00645500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  <w:lang w:eastAsia="uk-UA"/>
        </w:rPr>
        <w:t>Табл.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27079">
        <w:rPr>
          <w:rFonts w:ascii="Times New Roman" w:hAnsi="Times New Roman" w:cs="Times New Roman"/>
          <w:sz w:val="24"/>
          <w:szCs w:val="24"/>
          <w:lang w:eastAsia="uk-UA"/>
        </w:rPr>
        <w:t>№1</w:t>
      </w:r>
    </w:p>
    <w:p w14:paraId="61D03EB2" w14:textId="77777777" w:rsidR="00542873" w:rsidRPr="002D3441" w:rsidRDefault="00542873" w:rsidP="0054287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*</w:t>
      </w:r>
      <w:r w:rsidRPr="002D3441">
        <w:rPr>
          <w:rFonts w:ascii="Times New Roman" w:hAnsi="Times New Roman" w:cs="Times New Roman"/>
          <w:sz w:val="20"/>
          <w:szCs w:val="20"/>
          <w:lang w:eastAsia="uk-UA"/>
        </w:rPr>
        <w:t>1 категорія – тверді породи (дуб, бук, граб);</w:t>
      </w:r>
    </w:p>
    <w:p w14:paraId="0D022C47" w14:textId="77777777" w:rsidR="00542873" w:rsidRPr="002D3441" w:rsidRDefault="00542873" w:rsidP="0054287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**</w:t>
      </w:r>
      <w:r w:rsidRPr="002D3441">
        <w:rPr>
          <w:rFonts w:ascii="Times New Roman" w:hAnsi="Times New Roman" w:cs="Times New Roman"/>
          <w:sz w:val="20"/>
          <w:szCs w:val="20"/>
          <w:lang w:eastAsia="uk-UA"/>
        </w:rPr>
        <w:t>2 категорія – м’які породи (ялина, сосна, вільха).</w:t>
      </w:r>
    </w:p>
    <w:p w14:paraId="27694BB4" w14:textId="77777777" w:rsidR="00542873" w:rsidRPr="00227079" w:rsidRDefault="00542873" w:rsidP="005428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AE558" w14:textId="77777777" w:rsidR="00042D72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Для зручності Учасники тендеру мають заповнити</w:t>
      </w:r>
      <w:r w:rsidR="00042D7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:</w:t>
      </w:r>
    </w:p>
    <w:p w14:paraId="0E461216" w14:textId="33B2B356" w:rsidR="00EA6A16" w:rsidRDefault="00EA6A16" w:rsidP="00EA6A16">
      <w:pPr>
        <w:pStyle w:val="a4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>Додаток 1</w:t>
      </w:r>
      <w:r w:rsidR="00042D72"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 (4 закладки)</w:t>
      </w:r>
    </w:p>
    <w:p w14:paraId="2AC19189" w14:textId="46ADBC59" w:rsidR="00042D72" w:rsidRPr="00227079" w:rsidRDefault="00042D72" w:rsidP="00EA6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5E66"/>
          <w:sz w:val="24"/>
          <w:szCs w:val="24"/>
          <w:lang w:eastAsia="uk-UA"/>
        </w:rPr>
        <w:t xml:space="preserve">Додаток 2 </w:t>
      </w:r>
    </w:p>
    <w:p w14:paraId="313088DF" w14:textId="0C8FCC7B" w:rsidR="00177BEC" w:rsidRDefault="00177BEC"/>
    <w:p w14:paraId="03A4365F" w14:textId="4DC68A04" w:rsidR="002727CA" w:rsidRDefault="002727CA"/>
    <w:p w14:paraId="54A99B6F" w14:textId="09BCE551" w:rsidR="002727CA" w:rsidRDefault="002727CA"/>
    <w:p w14:paraId="2EB60ECC" w14:textId="19626EB2" w:rsidR="002727CA" w:rsidRDefault="002727CA"/>
    <w:p w14:paraId="703D5A2F" w14:textId="7CB9ADC3" w:rsidR="002727CA" w:rsidRDefault="002727CA"/>
    <w:p w14:paraId="7A4C193B" w14:textId="5470F554" w:rsidR="002727CA" w:rsidRDefault="002727CA"/>
    <w:p w14:paraId="0C806BF7" w14:textId="35BA8B0B" w:rsidR="002727CA" w:rsidRDefault="002727CA"/>
    <w:p w14:paraId="5074F432" w14:textId="31C8FBC8" w:rsidR="002727CA" w:rsidRDefault="002727CA"/>
    <w:p w14:paraId="066FE46D" w14:textId="0D9AE8FE" w:rsidR="002727CA" w:rsidRDefault="002727CA"/>
    <w:p w14:paraId="0AE8FF04" w14:textId="278BEC69" w:rsidR="002727CA" w:rsidRDefault="002727CA"/>
    <w:p w14:paraId="3DF93536" w14:textId="1C7B33E2" w:rsidR="002727CA" w:rsidRDefault="002727CA"/>
    <w:p w14:paraId="3D8221B8" w14:textId="445467A9" w:rsidR="002727CA" w:rsidRDefault="002727CA"/>
    <w:p w14:paraId="751993BC" w14:textId="71458F3A" w:rsidR="002727CA" w:rsidRDefault="002727CA"/>
    <w:p w14:paraId="14948EB2" w14:textId="2233086D" w:rsidR="002727CA" w:rsidRDefault="002727CA"/>
    <w:p w14:paraId="1AD6F532" w14:textId="43895076" w:rsidR="002727CA" w:rsidRDefault="002727CA"/>
    <w:p w14:paraId="05E09BC8" w14:textId="14C50420" w:rsidR="002727CA" w:rsidRDefault="002727CA"/>
    <w:p w14:paraId="653C0981" w14:textId="4B457773" w:rsidR="002727CA" w:rsidRDefault="002727CA"/>
    <w:p w14:paraId="40D64ED5" w14:textId="77777777" w:rsidR="002727CA" w:rsidRPr="002942D6" w:rsidRDefault="002727CA" w:rsidP="002727C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0"/>
        <w:jc w:val="both"/>
        <w:rPr>
          <w:rFonts w:cstheme="minorHAnsi"/>
          <w:b/>
          <w:sz w:val="24"/>
          <w:szCs w:val="24"/>
        </w:rPr>
      </w:pPr>
      <w:r w:rsidRPr="002942D6">
        <w:rPr>
          <w:rFonts w:cstheme="minorHAnsi"/>
          <w:b/>
          <w:sz w:val="24"/>
          <w:szCs w:val="24"/>
        </w:rPr>
        <w:lastRenderedPageBreak/>
        <w:t>Нульова терпимість до сексуальної експлуатації, насильства та домагань:</w:t>
      </w:r>
    </w:p>
    <w:p w14:paraId="789B2674" w14:textId="77777777" w:rsidR="002727CA" w:rsidRPr="002942D6" w:rsidRDefault="002727CA" w:rsidP="002727C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0"/>
        <w:jc w:val="both"/>
        <w:rPr>
          <w:rFonts w:cstheme="minorHAnsi"/>
          <w:sz w:val="24"/>
          <w:szCs w:val="24"/>
        </w:rPr>
      </w:pPr>
      <w:r w:rsidRPr="002942D6">
        <w:rPr>
          <w:rFonts w:cstheme="minorHAnsi"/>
          <w:sz w:val="24"/>
          <w:szCs w:val="24"/>
        </w:rPr>
        <w:t xml:space="preserve">Карітас </w:t>
      </w:r>
      <w:r>
        <w:rPr>
          <w:rFonts w:cstheme="minorHAnsi"/>
          <w:sz w:val="24"/>
          <w:szCs w:val="24"/>
        </w:rPr>
        <w:t>України</w:t>
      </w:r>
      <w:r w:rsidRPr="002942D6">
        <w:rPr>
          <w:rFonts w:cstheme="minorHAnsi"/>
          <w:sz w:val="24"/>
          <w:szCs w:val="24"/>
        </w:rPr>
        <w:t xml:space="preserve"> застосовує політику «нульової толерантності» до будь-якої протиправної поведінки, яка впливає на професійну довіру учасника тендеру.</w:t>
      </w:r>
    </w:p>
    <w:p w14:paraId="731F319D" w14:textId="77777777" w:rsidR="002727CA" w:rsidRPr="002942D6" w:rsidRDefault="002727CA" w:rsidP="002727C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0"/>
        <w:jc w:val="both"/>
        <w:rPr>
          <w:rFonts w:cstheme="minorHAnsi"/>
          <w:sz w:val="24"/>
          <w:szCs w:val="24"/>
        </w:rPr>
      </w:pPr>
      <w:r w:rsidRPr="002942D6">
        <w:rPr>
          <w:rFonts w:cstheme="minorHAnsi"/>
          <w:sz w:val="24"/>
          <w:szCs w:val="24"/>
        </w:rPr>
        <w:t>Фізичне насильство чи покарання, погрози фізичного насильства, сексуальне насильство чи експлуатація, переслідування та словесні образи, а також інші форми залякування забороняються.</w:t>
      </w:r>
    </w:p>
    <w:p w14:paraId="0EBF4F72" w14:textId="77777777" w:rsidR="002727CA" w:rsidRPr="002942D6" w:rsidRDefault="002727CA" w:rsidP="002727CA">
      <w:pPr>
        <w:keepNext/>
        <w:spacing w:line="240" w:lineRule="auto"/>
        <w:ind w:left="420"/>
        <w:jc w:val="both"/>
        <w:rPr>
          <w:rFonts w:cstheme="minorHAnsi"/>
          <w:sz w:val="24"/>
          <w:szCs w:val="24"/>
        </w:rPr>
      </w:pPr>
    </w:p>
    <w:p w14:paraId="5C57822F" w14:textId="77777777" w:rsidR="002727CA" w:rsidRPr="00F31286" w:rsidRDefault="002727CA" w:rsidP="002727CA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F31286">
        <w:rPr>
          <w:rFonts w:cstheme="minorHAnsi"/>
          <w:b/>
          <w:i/>
          <w:iCs/>
          <w:sz w:val="24"/>
          <w:szCs w:val="24"/>
        </w:rPr>
        <w:t>Боротьба з корупцією та хабарництвом</w:t>
      </w:r>
    </w:p>
    <w:p w14:paraId="242A20A3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  <w:r w:rsidRPr="002942D6">
        <w:rPr>
          <w:rFonts w:cstheme="minorHAnsi"/>
          <w:iCs/>
          <w:sz w:val="24"/>
          <w:szCs w:val="24"/>
        </w:rPr>
        <w:t>Учасник тендеру повинен дотримуватися всіх застосовних законів, нормативних актів і кодексів щодо боротьби з хабарництвом і корупцією.</w:t>
      </w:r>
    </w:p>
    <w:p w14:paraId="7F32E5B4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EA31816" w14:textId="77777777" w:rsidR="002727CA" w:rsidRPr="00F31286" w:rsidRDefault="002727CA" w:rsidP="002727CA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F31286">
        <w:rPr>
          <w:rFonts w:cstheme="minorHAnsi"/>
          <w:b/>
          <w:i/>
          <w:iCs/>
          <w:sz w:val="24"/>
          <w:szCs w:val="24"/>
        </w:rPr>
        <w:t>Незвичайні комерційні витрати</w:t>
      </w:r>
    </w:p>
    <w:p w14:paraId="31DFDAD6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  <w:r w:rsidRPr="002942D6">
        <w:rPr>
          <w:rFonts w:cstheme="minorHAnsi"/>
          <w:iCs/>
          <w:sz w:val="24"/>
          <w:szCs w:val="24"/>
        </w:rPr>
        <w:t xml:space="preserve">Тендерні пропозиції буде </w:t>
      </w:r>
      <w:proofErr w:type="spellStart"/>
      <w:r w:rsidRPr="002942D6">
        <w:rPr>
          <w:rFonts w:cstheme="minorHAnsi"/>
          <w:iCs/>
          <w:sz w:val="24"/>
          <w:szCs w:val="24"/>
        </w:rPr>
        <w:t>відхилено</w:t>
      </w:r>
      <w:proofErr w:type="spellEnd"/>
      <w:r w:rsidRPr="002942D6">
        <w:rPr>
          <w:rFonts w:cstheme="minorHAnsi"/>
          <w:iCs/>
          <w:sz w:val="24"/>
          <w:szCs w:val="24"/>
        </w:rPr>
        <w:t xml:space="preserve"> або контракти розірвано, якщо виявиться, що присудження або виконання контракту призвело до незвичайних комерційних витрат. Такими незвичайними комерційними витратами є комісії, не зазначені в основному контракті або не випливають із належним чином укладеного контракту, який посилається на основний контракт, комісійні, не сплачені в обмін на будь-які фактичні та законні послуги, комісійні, перераховані до податкової гавані, комісійні, сплачені одержувачу хто не є чітко ідентифікованим, або комісійні, сплачені компанії, яка виглядає як підставна компанія.</w:t>
      </w:r>
    </w:p>
    <w:p w14:paraId="73DB0B39" w14:textId="77777777" w:rsidR="002727CA" w:rsidRPr="002942D6" w:rsidRDefault="002727CA" w:rsidP="002727C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54A6E7D" w14:textId="77777777" w:rsidR="002727CA" w:rsidRPr="001C7443" w:rsidRDefault="002727CA" w:rsidP="002727CA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1C7443">
        <w:rPr>
          <w:rFonts w:cstheme="minorHAnsi"/>
          <w:b/>
          <w:i/>
          <w:iCs/>
          <w:sz w:val="24"/>
          <w:szCs w:val="24"/>
        </w:rPr>
        <w:t>Порушення зобов'язань, невідповідності або шахрайство</w:t>
      </w:r>
    </w:p>
    <w:p w14:paraId="037D70BB" w14:textId="77777777" w:rsidR="002727CA" w:rsidRPr="002942D6" w:rsidRDefault="002727CA" w:rsidP="002727CA">
      <w:pPr>
        <w:spacing w:after="0" w:line="240" w:lineRule="auto"/>
        <w:rPr>
          <w:rFonts w:cstheme="minorHAnsi"/>
          <w:sz w:val="24"/>
          <w:szCs w:val="24"/>
        </w:rPr>
      </w:pPr>
      <w:r w:rsidRPr="002942D6">
        <w:rPr>
          <w:rFonts w:cstheme="minorHAnsi"/>
          <w:iCs/>
          <w:sz w:val="24"/>
          <w:szCs w:val="24"/>
        </w:rPr>
        <w:t xml:space="preserve">Карітас </w:t>
      </w:r>
      <w:r>
        <w:rPr>
          <w:rFonts w:cstheme="minorHAnsi"/>
          <w:iCs/>
          <w:sz w:val="24"/>
          <w:szCs w:val="24"/>
        </w:rPr>
        <w:t>України</w:t>
      </w:r>
      <w:r w:rsidRPr="002942D6">
        <w:rPr>
          <w:rFonts w:cstheme="minorHAnsi"/>
          <w:iCs/>
          <w:sz w:val="24"/>
          <w:szCs w:val="24"/>
        </w:rPr>
        <w:t xml:space="preserve"> залишає за собою право призупинити або скасувати процедуру, якщо буде доведено, що процедура присудження призвела до порушення зобов’язань, </w:t>
      </w:r>
      <w:proofErr w:type="spellStart"/>
      <w:r w:rsidRPr="002942D6">
        <w:rPr>
          <w:rFonts w:cstheme="minorHAnsi"/>
          <w:iCs/>
          <w:sz w:val="24"/>
          <w:szCs w:val="24"/>
        </w:rPr>
        <w:t>невідповідносте</w:t>
      </w:r>
      <w:r>
        <w:rPr>
          <w:rFonts w:cstheme="minorHAnsi"/>
          <w:iCs/>
          <w:sz w:val="24"/>
          <w:szCs w:val="24"/>
        </w:rPr>
        <w:t>й</w:t>
      </w:r>
      <w:proofErr w:type="spellEnd"/>
      <w:r w:rsidRPr="002942D6">
        <w:rPr>
          <w:rFonts w:cstheme="minorHAnsi"/>
          <w:iCs/>
          <w:sz w:val="24"/>
          <w:szCs w:val="24"/>
        </w:rPr>
        <w:t xml:space="preserve"> або шахрайства. Якщо після укладення контракту буде виявлено порушення зобов’язань, невідповідності або шахрайство, Карітас </w:t>
      </w:r>
      <w:r>
        <w:rPr>
          <w:rFonts w:cstheme="minorHAnsi"/>
          <w:iCs/>
          <w:sz w:val="24"/>
          <w:szCs w:val="24"/>
        </w:rPr>
        <w:t>України</w:t>
      </w:r>
      <w:r w:rsidRPr="002942D6">
        <w:rPr>
          <w:rFonts w:cstheme="minorHAnsi"/>
          <w:iCs/>
          <w:sz w:val="24"/>
          <w:szCs w:val="24"/>
        </w:rPr>
        <w:t xml:space="preserve"> може відмовитися від контракту.</w:t>
      </w:r>
    </w:p>
    <w:p w14:paraId="672012AA" w14:textId="5478FEDD" w:rsidR="002727CA" w:rsidRDefault="002727CA"/>
    <w:sectPr w:rsidR="002727CA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5457" w14:textId="77777777" w:rsidR="00917510" w:rsidRDefault="00917510" w:rsidP="002727CA">
      <w:pPr>
        <w:spacing w:after="0" w:line="240" w:lineRule="auto"/>
      </w:pPr>
      <w:r>
        <w:separator/>
      </w:r>
    </w:p>
  </w:endnote>
  <w:endnote w:type="continuationSeparator" w:id="0">
    <w:p w14:paraId="5C8E3C3F" w14:textId="77777777" w:rsidR="00917510" w:rsidRDefault="00917510" w:rsidP="0027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FD66" w14:textId="77777777" w:rsidR="002727CA" w:rsidRPr="00066352" w:rsidRDefault="002727CA" w:rsidP="002727CA">
    <w:pPr>
      <w:spacing w:after="0" w:line="240" w:lineRule="auto"/>
      <w:rPr>
        <w:rFonts w:ascii="Calibri" w:eastAsia="Calibri" w:hAnsi="Calibri" w:cs="Calibri"/>
        <w:sz w:val="24"/>
        <w:szCs w:val="24"/>
      </w:rPr>
    </w:pPr>
    <w:r w:rsidRPr="2E46E375">
      <w:rPr>
        <w:rFonts w:ascii="Calibri" w:eastAsia="Calibri" w:hAnsi="Calibri" w:cs="Calibri"/>
        <w:color w:val="C82613"/>
        <w:sz w:val="24"/>
        <w:szCs w:val="24"/>
      </w:rPr>
      <w:t xml:space="preserve">Ви можете повідомити про випадок фінансових зловживань за допомогою встановлених каналів зворотного зв’язку: Гаряча лінія прийому скарг 0800 336 734 (Пн-Пт 11:00 – 16:00). Електронна скринька </w:t>
    </w:r>
    <w:hyperlink r:id="rId1">
      <w:r w:rsidRPr="2E46E375">
        <w:rPr>
          <w:rStyle w:val="a5"/>
          <w:rFonts w:ascii="Calibri" w:eastAsia="Calibri" w:hAnsi="Calibri" w:cs="Calibri"/>
          <w:sz w:val="24"/>
          <w:szCs w:val="24"/>
        </w:rPr>
        <w:t>feedback@caritas.ua</w:t>
      </w:r>
    </w:hyperlink>
  </w:p>
  <w:p w14:paraId="2141D8E6" w14:textId="77777777" w:rsidR="002727CA" w:rsidRDefault="002727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8E88" w14:textId="77777777" w:rsidR="00917510" w:rsidRDefault="00917510" w:rsidP="002727CA">
      <w:pPr>
        <w:spacing w:after="0" w:line="240" w:lineRule="auto"/>
      </w:pPr>
      <w:r>
        <w:separator/>
      </w:r>
    </w:p>
  </w:footnote>
  <w:footnote w:type="continuationSeparator" w:id="0">
    <w:p w14:paraId="4AC37D44" w14:textId="77777777" w:rsidR="00917510" w:rsidRDefault="00917510" w:rsidP="0027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75"/>
    <w:multiLevelType w:val="hybridMultilevel"/>
    <w:tmpl w:val="00FC44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06F008B"/>
    <w:multiLevelType w:val="hybridMultilevel"/>
    <w:tmpl w:val="1BF4DE9E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6"/>
    <w:rsid w:val="00042D72"/>
    <w:rsid w:val="0009492F"/>
    <w:rsid w:val="000E3719"/>
    <w:rsid w:val="00110317"/>
    <w:rsid w:val="00177BEC"/>
    <w:rsid w:val="0024299A"/>
    <w:rsid w:val="002727CA"/>
    <w:rsid w:val="002E156B"/>
    <w:rsid w:val="003053A2"/>
    <w:rsid w:val="003A6E1A"/>
    <w:rsid w:val="004A674D"/>
    <w:rsid w:val="004E3454"/>
    <w:rsid w:val="005022EF"/>
    <w:rsid w:val="0051043B"/>
    <w:rsid w:val="00536724"/>
    <w:rsid w:val="00542873"/>
    <w:rsid w:val="005B1C72"/>
    <w:rsid w:val="0060163A"/>
    <w:rsid w:val="00645500"/>
    <w:rsid w:val="006E2179"/>
    <w:rsid w:val="006E7134"/>
    <w:rsid w:val="00700586"/>
    <w:rsid w:val="007615EC"/>
    <w:rsid w:val="00827BD9"/>
    <w:rsid w:val="008B20B4"/>
    <w:rsid w:val="008E09F2"/>
    <w:rsid w:val="008E4F7F"/>
    <w:rsid w:val="00917510"/>
    <w:rsid w:val="00940BA0"/>
    <w:rsid w:val="00955BB2"/>
    <w:rsid w:val="00975CC1"/>
    <w:rsid w:val="00985966"/>
    <w:rsid w:val="009D51D0"/>
    <w:rsid w:val="00AC10A5"/>
    <w:rsid w:val="00B44878"/>
    <w:rsid w:val="00B937ED"/>
    <w:rsid w:val="00C64995"/>
    <w:rsid w:val="00D266DB"/>
    <w:rsid w:val="00D4140D"/>
    <w:rsid w:val="00DC6E7D"/>
    <w:rsid w:val="00E5151A"/>
    <w:rsid w:val="00E62858"/>
    <w:rsid w:val="00E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4F8"/>
  <w15:docId w15:val="{19EF144B-B968-5A4C-A8EE-5F2B1164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A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053A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53A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727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727CA"/>
  </w:style>
  <w:style w:type="paragraph" w:styleId="a8">
    <w:name w:val="footer"/>
    <w:basedOn w:val="a"/>
    <w:link w:val="a9"/>
    <w:uiPriority w:val="99"/>
    <w:unhideWhenUsed/>
    <w:rsid w:val="002727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7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tas.kryvyi.ri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tas.kryvyi.ri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itas.kryvyi.ri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tas.kryvyi.rih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arita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5746</Words>
  <Characters>3276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Офіс Херсон</dc:creator>
  <cp:lastModifiedBy>Tetiana Trubacheieva</cp:lastModifiedBy>
  <cp:revision>3</cp:revision>
  <dcterms:created xsi:type="dcterms:W3CDTF">2023-11-07T14:00:00Z</dcterms:created>
  <dcterms:modified xsi:type="dcterms:W3CDTF">2023-11-07T14:05:00Z</dcterms:modified>
</cp:coreProperties>
</file>